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47C" w:rsidRPr="007B23FD" w:rsidRDefault="004C747C" w:rsidP="004C747C">
      <w:pPr>
        <w:ind w:firstLine="720"/>
        <w:jc w:val="both"/>
        <w:rPr>
          <w:b/>
          <w:color w:val="000000"/>
          <w:sz w:val="28"/>
          <w:szCs w:val="28"/>
        </w:rPr>
      </w:pPr>
      <w:r w:rsidRPr="007B23FD">
        <w:rPr>
          <w:b/>
          <w:color w:val="000000"/>
          <w:sz w:val="28"/>
          <w:szCs w:val="28"/>
        </w:rPr>
        <w:t>В 2019 году изменился порядок налогообложения земельных участков</w:t>
      </w:r>
    </w:p>
    <w:p w:rsidR="004C747C" w:rsidRDefault="004C747C" w:rsidP="004C747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﻿</w:t>
      </w:r>
    </w:p>
    <w:p w:rsidR="004C747C" w:rsidRPr="007B5D14" w:rsidRDefault="004C747C" w:rsidP="004C747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С 1 января 2019 года вступили в силу законодательные изменения в порядок налогообложения земельных участков.</w:t>
      </w:r>
    </w:p>
    <w:p w:rsidR="004C747C" w:rsidRPr="007B5D14" w:rsidRDefault="004C747C" w:rsidP="004C747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 частности, независимо от оснований с 2019 года перерасчета земельного налога для физических лиц не будет, если это повлечет увеличение</w:t>
      </w:r>
      <w:r>
        <w:rPr>
          <w:color w:val="000000"/>
          <w:sz w:val="28"/>
          <w:szCs w:val="28"/>
        </w:rPr>
        <w:t xml:space="preserve"> ранее уплаченной суммы налога.</w:t>
      </w:r>
    </w:p>
    <w:p w:rsidR="004C747C" w:rsidRPr="007B5D14" w:rsidRDefault="004C747C" w:rsidP="004C747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Меняется и порядок применения кадастровой стоимости земельных участков при налогообложении. Так, в случае оспаривания кадастровой стоимости ее новое значение, установленное после 1 января 2019 года решением комиссии или суда, будет учитываются при определении налоговой базы с даты начала налогообложения земельного участка по оспоренной кадастровой стоимости (п. 1.1. ст. 391 Налогового кодекса).</w:t>
      </w:r>
    </w:p>
    <w:p w:rsidR="004C747C" w:rsidRPr="007B5D14" w:rsidRDefault="004C747C" w:rsidP="004C747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Для лиц </w:t>
      </w:r>
      <w:proofErr w:type="spellStart"/>
      <w:r w:rsidRPr="007B5D14">
        <w:rPr>
          <w:color w:val="000000"/>
          <w:sz w:val="28"/>
          <w:szCs w:val="28"/>
        </w:rPr>
        <w:t>предпенсионного</w:t>
      </w:r>
      <w:proofErr w:type="spellEnd"/>
      <w:r w:rsidRPr="007B5D14">
        <w:rPr>
          <w:color w:val="000000"/>
          <w:sz w:val="28"/>
          <w:szCs w:val="28"/>
        </w:rPr>
        <w:t xml:space="preserve"> возраста (то есть лиц, соответствовавших условиям для назначения пенсии на 31 декабря 2018 года) предусмотрен налоговый вычет, уменьшающий налоговую базу на величину кадастровой стоимости 6 соток в отношении одного земельного участка.</w:t>
      </w:r>
    </w:p>
    <w:p w:rsidR="004C747C" w:rsidRPr="007B5D14" w:rsidRDefault="004C747C" w:rsidP="004C747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Вводятся льготы, освобождающие от уплаты земельного налога организации, признаваемые фондами в соответствии с законодательством об инновационных НТЦ, в отношении земельных участков, входящих в состав территории таких центров (подп. 13 п. 1 ст. 395 НК РФ).</w:t>
      </w:r>
    </w:p>
    <w:p w:rsidR="004C747C" w:rsidRPr="007B5D14" w:rsidRDefault="004C747C" w:rsidP="004C747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Налоговую декларацию по земельному налогу (форма 1153005) в 2019 году организации будут представлять по новой форме. В ней учтены изменения в порядке налогообложения земельных участков: внесены правила, позволяющие с 2018 года исчислить налог в случае изменения кадастровой стоимости участка вследствие изменения его качественных и (или) количественных характеристик (вида разрешенного использования, категории земель, площади).</w:t>
      </w:r>
    </w:p>
    <w:p w:rsidR="004C747C" w:rsidRPr="007B5D14" w:rsidRDefault="004C747C" w:rsidP="004C747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Изменения могут произойти также на региональном и муниципальном уровне, так как органы исполнительной власти субъектов РФ имеют полномочия утверждать результаты государственной кадастровой оценки земель, а органы местного самоуправления могут устанавливать налоговые ставки и льготы.</w:t>
      </w: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AB1"/>
    <w:rsid w:val="001256B3"/>
    <w:rsid w:val="004C747C"/>
    <w:rsid w:val="007D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71A86D-8805-44F6-ACAF-D326E2F30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4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2019-01-23T07:31:00Z</dcterms:created>
  <dcterms:modified xsi:type="dcterms:W3CDTF">2019-01-23T07:31:00Z</dcterms:modified>
</cp:coreProperties>
</file>